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84D" w:rsidRDefault="00207DB2">
      <w:pPr>
        <w:jc w:val="center"/>
        <w:rPr>
          <w:rFonts w:cs="Aharoni"/>
          <w:b/>
          <w:sz w:val="32"/>
          <w:u w:val="single"/>
        </w:rPr>
      </w:pPr>
      <w:r>
        <w:rPr>
          <w:rFonts w:cs="Aharoni"/>
          <w:b/>
          <w:sz w:val="32"/>
          <w:u w:val="single"/>
        </w:rPr>
        <w:t>Topic 3 – Classification PLC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0"/>
        <w:gridCol w:w="4005"/>
        <w:gridCol w:w="1023"/>
        <w:gridCol w:w="1023"/>
        <w:gridCol w:w="1002"/>
        <w:gridCol w:w="1023"/>
      </w:tblGrid>
      <w:tr w:rsidR="00207DB2" w:rsidTr="00AA3A96">
        <w:tc>
          <w:tcPr>
            <w:tcW w:w="1242" w:type="dxa"/>
            <w:vMerge w:val="restart"/>
          </w:tcPr>
          <w:p w:rsidR="00207DB2" w:rsidRDefault="00207DB2" w:rsidP="00AA3A96">
            <w:pPr>
              <w:rPr>
                <w:rFonts w:cs="Aharoni"/>
                <w:b/>
                <w:sz w:val="24"/>
                <w:szCs w:val="24"/>
              </w:rPr>
            </w:pPr>
            <w:r>
              <w:rPr>
                <w:rFonts w:cs="Aharoni"/>
                <w:b/>
                <w:sz w:val="24"/>
                <w:szCs w:val="24"/>
              </w:rPr>
              <w:t>3.1 Principles of classification</w:t>
            </w:r>
          </w:p>
        </w:tc>
        <w:tc>
          <w:tcPr>
            <w:tcW w:w="4141" w:type="dxa"/>
            <w:vMerge w:val="restart"/>
          </w:tcPr>
          <w:p w:rsidR="00207DB2" w:rsidRPr="00C154DD" w:rsidRDefault="00C154DD" w:rsidP="00C154DD">
            <w:pPr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eastAsia="Calibri"/>
                <w:b/>
              </w:rPr>
              <w:t xml:space="preserve">Specification ref./ </w:t>
            </w:r>
            <w:r w:rsidR="00207DB2" w:rsidRPr="00C154DD">
              <w:rPr>
                <w:rFonts w:cs="Aharoni"/>
                <w:b/>
                <w:sz w:val="24"/>
                <w:szCs w:val="24"/>
              </w:rPr>
              <w:t>Learning Objectives</w:t>
            </w: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sz w:val="24"/>
                <w:szCs w:val="24"/>
              </w:rPr>
            </w:pPr>
          </w:p>
        </w:tc>
        <w:tc>
          <w:tcPr>
            <w:tcW w:w="3139" w:type="dxa"/>
            <w:gridSpan w:val="3"/>
          </w:tcPr>
          <w:p w:rsidR="00207DB2" w:rsidRDefault="00207DB2">
            <w:pPr>
              <w:jc w:val="center"/>
              <w:rPr>
                <w:rFonts w:cs="Aharoni"/>
                <w:sz w:val="24"/>
                <w:szCs w:val="24"/>
              </w:rPr>
            </w:pPr>
            <w:r>
              <w:rPr>
                <w:rFonts w:cs="Aharoni"/>
                <w:sz w:val="24"/>
                <w:szCs w:val="24"/>
              </w:rPr>
              <w:t>Confidence Rating</w:t>
            </w:r>
          </w:p>
        </w:tc>
      </w:tr>
      <w:tr w:rsidR="00207DB2" w:rsidTr="00AA3A96">
        <w:trPr>
          <w:cantSplit/>
          <w:trHeight w:val="1134"/>
        </w:trPr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  <w:vMerge/>
          </w:tcPr>
          <w:p w:rsidR="00207DB2" w:rsidRDefault="00207DB2">
            <w:pPr>
              <w:jc w:val="center"/>
              <w:rPr>
                <w:rFonts w:cs="Aharoni"/>
                <w:sz w:val="24"/>
                <w:szCs w:val="24"/>
              </w:rPr>
            </w:pPr>
          </w:p>
        </w:tc>
        <w:tc>
          <w:tcPr>
            <w:tcW w:w="1054" w:type="dxa"/>
            <w:textDirection w:val="btLr"/>
          </w:tcPr>
          <w:p w:rsidR="00207DB2" w:rsidRPr="00C154DD" w:rsidRDefault="00207DB2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proofErr w:type="spellStart"/>
            <w:r w:rsidRPr="00C154DD">
              <w:rPr>
                <w:rFonts w:cs="Aharoni"/>
                <w:b/>
                <w:sz w:val="24"/>
                <w:szCs w:val="24"/>
              </w:rPr>
              <w:t>Pe</w:t>
            </w:r>
            <w:proofErr w:type="spellEnd"/>
            <w:r w:rsidRPr="00C154DD">
              <w:rPr>
                <w:rFonts w:cs="Aharoni"/>
                <w:b/>
                <w:sz w:val="24"/>
                <w:szCs w:val="24"/>
              </w:rPr>
              <w:t>-read</w:t>
            </w:r>
            <w:r w:rsidRPr="00C154DD">
              <w:rPr>
                <w:rFonts w:cs="Aharoni"/>
                <w:b/>
                <w:sz w:val="24"/>
                <w:szCs w:val="24"/>
              </w:rPr>
              <w:tab/>
            </w:r>
            <w:r w:rsidRPr="00C154DD">
              <w:rPr>
                <w:rFonts w:cs="Aharoni"/>
                <w:b/>
                <w:sz w:val="24"/>
                <w:szCs w:val="24"/>
              </w:rPr>
              <w:tab/>
            </w:r>
          </w:p>
          <w:p w:rsidR="00207DB2" w:rsidRPr="00C154DD" w:rsidRDefault="00207DB2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054" w:type="dxa"/>
            <w:textDirection w:val="btLr"/>
          </w:tcPr>
          <w:p w:rsidR="00207DB2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In lesson</w:t>
            </w:r>
          </w:p>
        </w:tc>
        <w:tc>
          <w:tcPr>
            <w:tcW w:w="1031" w:type="dxa"/>
            <w:textDirection w:val="btLr"/>
          </w:tcPr>
          <w:p w:rsidR="00207DB2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Revision</w:t>
            </w:r>
          </w:p>
        </w:tc>
        <w:tc>
          <w:tcPr>
            <w:tcW w:w="1054" w:type="dxa"/>
            <w:textDirection w:val="btLr"/>
          </w:tcPr>
          <w:p w:rsidR="00207DB2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Test</w:t>
            </w:r>
          </w:p>
        </w:tc>
      </w:tr>
      <w:tr w:rsidR="00207DB2" w:rsidTr="00AA3A96"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>
            <w:pPr>
              <w:rPr>
                <w:rFonts w:cs="Aharoni"/>
                <w:sz w:val="24"/>
                <w:szCs w:val="24"/>
              </w:rPr>
            </w:pPr>
            <w:proofErr w:type="spellStart"/>
            <w:r>
              <w:rPr>
                <w:rFonts w:cs="Aharoni"/>
                <w:sz w:val="24"/>
                <w:szCs w:val="24"/>
              </w:rPr>
              <w:t>i</w:t>
            </w:r>
            <w:proofErr w:type="spellEnd"/>
            <w:r>
              <w:rPr>
                <w:rFonts w:cs="Aharoni"/>
                <w:sz w:val="24"/>
                <w:szCs w:val="24"/>
              </w:rPr>
              <w:t xml:space="preserve"> Know that the classification system consists of a hierarchy of domain, kingdom, phylum, class, order, family, genus and species.</w:t>
            </w:r>
          </w:p>
          <w:p w:rsidR="00AA3A96" w:rsidRDefault="00AA3A96">
            <w:pPr>
              <w:rPr>
                <w:rFonts w:cs="Aharoni"/>
                <w:sz w:val="24"/>
                <w:szCs w:val="24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>
            <w:pPr>
              <w:rPr>
                <w:rFonts w:cs="Aharoni"/>
                <w:sz w:val="24"/>
                <w:szCs w:val="24"/>
              </w:rPr>
            </w:pPr>
            <w:r>
              <w:rPr>
                <w:rFonts w:cs="Aharoni"/>
                <w:sz w:val="24"/>
                <w:szCs w:val="24"/>
              </w:rPr>
              <w:t>ii Understand the limitations of the definition of a species as a group of organisms with similar characteristics that interbreed to produce fertile offspring.</w:t>
            </w:r>
          </w:p>
          <w:p w:rsidR="00AA3A96" w:rsidRDefault="00AA3A96">
            <w:pPr>
              <w:rPr>
                <w:rFonts w:cs="Aharoni"/>
                <w:sz w:val="24"/>
                <w:szCs w:val="24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iii Understand why it is often difficult to assign org</w:t>
            </w:r>
            <w:r w:rsidR="00AA3A96">
              <w:rPr>
                <w:rFonts w:ascii="Verdana" w:hAnsi="Verdana" w:cs="Verdana"/>
                <w:sz w:val="20"/>
                <w:szCs w:val="20"/>
                <w:lang w:val="en-GB"/>
              </w:rPr>
              <w:t xml:space="preserve">anisms to any one species or to </w:t>
            </w:r>
            <w:r>
              <w:rPr>
                <w:rFonts w:ascii="Verdana" w:hAnsi="Verdana" w:cs="Verdana"/>
                <w:sz w:val="20"/>
                <w:szCs w:val="20"/>
                <w:lang w:val="en-GB"/>
              </w:rPr>
              <w:t>identify new species.</w:t>
            </w:r>
          </w:p>
          <w:p w:rsidR="00AA3A96" w:rsidRPr="00AA3A96" w:rsidRDefault="00AA3A96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iv Understand how gel electrophoresis can be used</w:t>
            </w:r>
            <w:r w:rsidR="00AA3A96">
              <w:rPr>
                <w:rFonts w:ascii="Verdana" w:hAnsi="Verdana" w:cs="Verdana"/>
                <w:sz w:val="20"/>
                <w:szCs w:val="20"/>
                <w:lang w:val="en-GB"/>
              </w:rPr>
              <w:t xml:space="preserve"> to distinguish between species </w:t>
            </w:r>
            <w:r>
              <w:rPr>
                <w:rFonts w:ascii="Verdana" w:hAnsi="Verdana" w:cs="Verdana"/>
                <w:sz w:val="20"/>
                <w:szCs w:val="20"/>
                <w:lang w:val="en-GB"/>
              </w:rPr>
              <w:t>and determine evolutionary relationships.</w:t>
            </w:r>
          </w:p>
          <w:p w:rsidR="00AA3A96" w:rsidRDefault="00AA3A96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  <w:p w:rsidR="00AA3A96" w:rsidRPr="00AA3A96" w:rsidRDefault="00AA3A96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 xml:space="preserve">v Know that DNA sequencing and bioinformatics can be used to </w:t>
            </w:r>
            <w:r w:rsidR="00AA3A96">
              <w:rPr>
                <w:rFonts w:ascii="Verdana" w:hAnsi="Verdana" w:cs="Verdana"/>
                <w:sz w:val="20"/>
                <w:szCs w:val="20"/>
                <w:lang w:val="en-GB"/>
              </w:rPr>
              <w:t xml:space="preserve">distinguish </w:t>
            </w:r>
            <w:r>
              <w:rPr>
                <w:rFonts w:ascii="Verdana" w:hAnsi="Verdana" w:cs="Verdana"/>
                <w:sz w:val="20"/>
                <w:szCs w:val="20"/>
                <w:lang w:val="en-GB"/>
              </w:rPr>
              <w:t>between species and determine evolutionary relationships.</w:t>
            </w:r>
          </w:p>
          <w:p w:rsidR="00AA3A96" w:rsidRPr="00AA3A96" w:rsidRDefault="00AA3A96" w:rsidP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vi Understand the role of scientific journals, the peer review process and scientific</w:t>
            </w:r>
          </w:p>
          <w:p w:rsidR="00207DB2" w:rsidRDefault="00207DB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conferences in validating new evidence sup</w:t>
            </w:r>
            <w:r w:rsidR="00AA3A96">
              <w:rPr>
                <w:rFonts w:ascii="Verdana" w:hAnsi="Verdana" w:cs="Verdana"/>
                <w:sz w:val="20"/>
                <w:szCs w:val="20"/>
                <w:lang w:val="en-GB"/>
              </w:rPr>
              <w:t xml:space="preserve">porting the accepted scientific </w:t>
            </w:r>
            <w:r>
              <w:rPr>
                <w:rFonts w:ascii="Verdana" w:hAnsi="Verdana" w:cs="Verdana"/>
                <w:sz w:val="20"/>
                <w:szCs w:val="20"/>
                <w:lang w:val="en-GB"/>
              </w:rPr>
              <w:t>theory of evolution.</w:t>
            </w:r>
          </w:p>
          <w:p w:rsidR="00AA3A96" w:rsidRDefault="00AA3A9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  <w:p w:rsidR="00207DB2" w:rsidRDefault="00207DB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rPr>
          <w:trHeight w:val="557"/>
        </w:trPr>
        <w:tc>
          <w:tcPr>
            <w:tcW w:w="1242" w:type="dxa"/>
            <w:vMerge/>
          </w:tcPr>
          <w:p w:rsidR="00207DB2" w:rsidRDefault="00207DB2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207DB2" w:rsidRDefault="00207DB2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val="en-GB"/>
              </w:rPr>
              <w:t>vii Understand the evidence for the three-domain model of classification as an</w:t>
            </w:r>
          </w:p>
          <w:p w:rsidR="00AA3A96" w:rsidRDefault="00207DB2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222222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val="en-GB"/>
              </w:rPr>
              <w:t xml:space="preserve">alternative to the five-kingdom model </w:t>
            </w:r>
            <w:r>
              <w:rPr>
                <w:rFonts w:ascii="Verdana" w:hAnsi="Verdana" w:cs="Verdana"/>
                <w:color w:val="222222"/>
                <w:sz w:val="20"/>
                <w:szCs w:val="20"/>
                <w:lang w:val="en-GB"/>
              </w:rPr>
              <w:t>and the r</w:t>
            </w:r>
            <w:r w:rsidR="00AA3A96">
              <w:rPr>
                <w:rFonts w:ascii="Verdana" w:hAnsi="Verdana" w:cs="Verdana"/>
                <w:color w:val="222222"/>
                <w:sz w:val="20"/>
                <w:szCs w:val="20"/>
                <w:lang w:val="en-GB"/>
              </w:rPr>
              <w:t xml:space="preserve">ole of the scientific community </w:t>
            </w:r>
            <w:r>
              <w:rPr>
                <w:rFonts w:ascii="Verdana" w:hAnsi="Verdana" w:cs="Verdana"/>
                <w:color w:val="222222"/>
                <w:sz w:val="20"/>
                <w:szCs w:val="20"/>
                <w:lang w:val="en-GB"/>
              </w:rPr>
              <w:t xml:space="preserve">in </w:t>
            </w:r>
            <w:r w:rsidR="00AA3A96">
              <w:rPr>
                <w:rFonts w:ascii="Verdana" w:hAnsi="Verdana" w:cs="Verdana"/>
                <w:color w:val="222222"/>
                <w:sz w:val="20"/>
                <w:szCs w:val="20"/>
                <w:lang w:val="en-GB"/>
              </w:rPr>
              <w:t>validating this evidence.</w:t>
            </w:r>
          </w:p>
          <w:p w:rsidR="00AA3A96" w:rsidRPr="00AA3A96" w:rsidRDefault="00AA3A96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222222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207DB2" w:rsidRDefault="00207DB2" w:rsidP="00AA3A96">
            <w:pPr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207DB2" w:rsidRDefault="00207DB2" w:rsidP="00AA3A96">
            <w:pPr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207DB2" w:rsidRDefault="00207DB2" w:rsidP="00AA3A96">
            <w:pPr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AA3A96">
            <w:pPr>
              <w:rPr>
                <w:rFonts w:cs="Aharoni"/>
                <w:b/>
                <w:sz w:val="32"/>
                <w:u w:val="single"/>
              </w:rPr>
            </w:pPr>
          </w:p>
          <w:p w:rsidR="00C154DD" w:rsidRDefault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  <w:p w:rsidR="00C154DD" w:rsidRDefault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  <w:p w:rsidR="00C154DD" w:rsidRDefault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207DB2" w:rsidTr="00AA3A96">
        <w:tc>
          <w:tcPr>
            <w:tcW w:w="1242" w:type="dxa"/>
            <w:vMerge w:val="restart"/>
          </w:tcPr>
          <w:p w:rsidR="00207DB2" w:rsidRDefault="00207DB2">
            <w:pPr>
              <w:jc w:val="center"/>
              <w:rPr>
                <w:rFonts w:cs="Aharoni"/>
                <w:b/>
                <w:sz w:val="24"/>
                <w:szCs w:val="24"/>
              </w:rPr>
            </w:pPr>
            <w:r>
              <w:rPr>
                <w:rFonts w:cs="Aharoni"/>
                <w:b/>
                <w:sz w:val="24"/>
                <w:szCs w:val="24"/>
              </w:rPr>
              <w:lastRenderedPageBreak/>
              <w:t>3.2 Natural Selection</w:t>
            </w:r>
          </w:p>
        </w:tc>
        <w:tc>
          <w:tcPr>
            <w:tcW w:w="4141" w:type="dxa"/>
            <w:vMerge w:val="restart"/>
          </w:tcPr>
          <w:p w:rsidR="00207DB2" w:rsidRDefault="00C154DD" w:rsidP="00C154DD">
            <w:pPr>
              <w:rPr>
                <w:rFonts w:cs="Aharoni"/>
                <w:sz w:val="24"/>
                <w:szCs w:val="24"/>
              </w:rPr>
            </w:pPr>
            <w:r w:rsidRPr="00C154DD">
              <w:rPr>
                <w:rFonts w:eastAsia="Calibri"/>
                <w:b/>
              </w:rPr>
              <w:t xml:space="preserve">Specification ref./ </w:t>
            </w:r>
            <w:r w:rsidRPr="00C154DD">
              <w:rPr>
                <w:rFonts w:cs="Aharoni"/>
                <w:b/>
                <w:sz w:val="24"/>
                <w:szCs w:val="24"/>
              </w:rPr>
              <w:t>Learning Objectives</w:t>
            </w:r>
            <w:r>
              <w:rPr>
                <w:rFonts w:cs="Aharoni"/>
                <w:sz w:val="24"/>
                <w:szCs w:val="24"/>
              </w:rPr>
              <w:t xml:space="preserve"> </w:t>
            </w:r>
          </w:p>
        </w:tc>
        <w:tc>
          <w:tcPr>
            <w:tcW w:w="1054" w:type="dxa"/>
          </w:tcPr>
          <w:p w:rsidR="00207DB2" w:rsidRDefault="00207DB2">
            <w:pPr>
              <w:jc w:val="center"/>
              <w:rPr>
                <w:rFonts w:cs="Aharoni"/>
                <w:sz w:val="24"/>
                <w:szCs w:val="24"/>
              </w:rPr>
            </w:pPr>
          </w:p>
        </w:tc>
        <w:tc>
          <w:tcPr>
            <w:tcW w:w="3139" w:type="dxa"/>
            <w:gridSpan w:val="3"/>
          </w:tcPr>
          <w:p w:rsidR="00207DB2" w:rsidRDefault="00207DB2">
            <w:pPr>
              <w:jc w:val="center"/>
              <w:rPr>
                <w:rFonts w:cs="Aharoni"/>
                <w:sz w:val="24"/>
                <w:szCs w:val="24"/>
              </w:rPr>
            </w:pPr>
            <w:r>
              <w:rPr>
                <w:rFonts w:cs="Aharoni"/>
                <w:sz w:val="24"/>
                <w:szCs w:val="24"/>
              </w:rPr>
              <w:t>Confidence Rating</w:t>
            </w:r>
          </w:p>
        </w:tc>
      </w:tr>
      <w:tr w:rsidR="00C154DD" w:rsidTr="00AA3A96">
        <w:trPr>
          <w:trHeight w:val="1243"/>
        </w:trPr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sz w:val="24"/>
                <w:szCs w:val="24"/>
              </w:rPr>
            </w:pPr>
          </w:p>
        </w:tc>
        <w:tc>
          <w:tcPr>
            <w:tcW w:w="1054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proofErr w:type="spellStart"/>
            <w:r w:rsidRPr="00C154DD">
              <w:rPr>
                <w:rFonts w:cs="Aharoni"/>
                <w:b/>
                <w:sz w:val="24"/>
                <w:szCs w:val="24"/>
              </w:rPr>
              <w:t>Pe</w:t>
            </w:r>
            <w:proofErr w:type="spellEnd"/>
            <w:r w:rsidRPr="00C154DD">
              <w:rPr>
                <w:rFonts w:cs="Aharoni"/>
                <w:b/>
                <w:sz w:val="24"/>
                <w:szCs w:val="24"/>
              </w:rPr>
              <w:t>-read</w:t>
            </w:r>
            <w:r w:rsidRPr="00C154DD">
              <w:rPr>
                <w:rFonts w:cs="Aharoni"/>
                <w:b/>
                <w:sz w:val="24"/>
                <w:szCs w:val="24"/>
              </w:rPr>
              <w:tab/>
            </w:r>
            <w:r w:rsidRPr="00C154DD">
              <w:rPr>
                <w:rFonts w:cs="Aharoni"/>
                <w:b/>
                <w:sz w:val="24"/>
                <w:szCs w:val="24"/>
              </w:rPr>
              <w:tab/>
            </w:r>
          </w:p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054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In lesson</w:t>
            </w:r>
          </w:p>
        </w:tc>
        <w:tc>
          <w:tcPr>
            <w:tcW w:w="1031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Revision</w:t>
            </w:r>
          </w:p>
        </w:tc>
        <w:tc>
          <w:tcPr>
            <w:tcW w:w="1054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Test</w:t>
            </w: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Verdana" w:hAnsi="Verdana" w:cs="Verdana"/>
                <w:sz w:val="20"/>
                <w:szCs w:val="20"/>
                <w:lang w:val="en-GB"/>
              </w:rPr>
              <w:t>i</w:t>
            </w:r>
            <w:proofErr w:type="spellEnd"/>
            <w:r>
              <w:rPr>
                <w:rFonts w:ascii="Verdana" w:hAnsi="Verdana" w:cs="Verdana"/>
                <w:sz w:val="20"/>
                <w:szCs w:val="20"/>
                <w:lang w:val="en-GB"/>
              </w:rPr>
              <w:t xml:space="preserve"> Understand how evolution can come about through natural selection acting on variation bringing about adaptations.</w:t>
            </w:r>
          </w:p>
          <w:p w:rsidR="00AA3A96" w:rsidRPr="00C154DD" w:rsidRDefault="00AA3A96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ii Understand how organisms occupy niches according to physiological, behavioural and anatomical adaptations.</w:t>
            </w:r>
          </w:p>
          <w:p w:rsidR="00AA3A96" w:rsidRPr="00C154DD" w:rsidRDefault="00AA3A96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iii Understand how reproductive isolation can lead to allopatric and sympatric speciation.</w:t>
            </w:r>
          </w:p>
          <w:p w:rsidR="00AA3A96" w:rsidRPr="00C154DD" w:rsidRDefault="00AA3A96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iv Understand that there is an evolutionary race between pathogens and the development of medicines to treat the diseases they cause.</w:t>
            </w:r>
          </w:p>
          <w:p w:rsidR="00AA3A96" w:rsidRPr="00C154DD" w:rsidRDefault="00AA3A96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C154DD" w:rsidTr="00AA3A96">
        <w:tc>
          <w:tcPr>
            <w:tcW w:w="1242" w:type="dxa"/>
            <w:vMerge w:val="restart"/>
          </w:tcPr>
          <w:p w:rsidR="00C154DD" w:rsidRDefault="00C154DD" w:rsidP="00C154DD">
            <w:pPr>
              <w:jc w:val="center"/>
              <w:rPr>
                <w:rFonts w:cs="Aharoni"/>
                <w:b/>
                <w:sz w:val="24"/>
                <w:szCs w:val="24"/>
              </w:rPr>
            </w:pPr>
            <w:r>
              <w:rPr>
                <w:rFonts w:cs="Aharoni"/>
                <w:b/>
                <w:sz w:val="24"/>
                <w:szCs w:val="24"/>
              </w:rPr>
              <w:t>3.3 Biodiversity</w:t>
            </w:r>
          </w:p>
        </w:tc>
        <w:tc>
          <w:tcPr>
            <w:tcW w:w="4141" w:type="dxa"/>
            <w:vMerge w:val="restart"/>
          </w:tcPr>
          <w:p w:rsidR="00C154DD" w:rsidRDefault="00C154DD" w:rsidP="00C154DD">
            <w:pPr>
              <w:rPr>
                <w:rFonts w:cs="Aharoni"/>
                <w:sz w:val="24"/>
                <w:szCs w:val="24"/>
              </w:rPr>
            </w:pPr>
            <w:r w:rsidRPr="00C154DD">
              <w:rPr>
                <w:rFonts w:eastAsia="Calibri"/>
                <w:b/>
              </w:rPr>
              <w:t xml:space="preserve">Specification ref./ </w:t>
            </w:r>
            <w:r w:rsidRPr="00C154DD">
              <w:rPr>
                <w:rFonts w:cs="Aharoni"/>
                <w:b/>
                <w:sz w:val="24"/>
                <w:szCs w:val="24"/>
              </w:rPr>
              <w:t>Learning Objectives</w:t>
            </w: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sz w:val="24"/>
                <w:szCs w:val="24"/>
              </w:rPr>
            </w:pPr>
          </w:p>
        </w:tc>
        <w:tc>
          <w:tcPr>
            <w:tcW w:w="3139" w:type="dxa"/>
            <w:gridSpan w:val="3"/>
          </w:tcPr>
          <w:p w:rsidR="00C154DD" w:rsidRDefault="00C154DD" w:rsidP="00C154DD">
            <w:pPr>
              <w:jc w:val="center"/>
              <w:rPr>
                <w:rFonts w:cs="Aharoni"/>
                <w:sz w:val="24"/>
                <w:szCs w:val="24"/>
              </w:rPr>
            </w:pPr>
            <w:r>
              <w:rPr>
                <w:rFonts w:cs="Aharoni"/>
                <w:sz w:val="24"/>
                <w:szCs w:val="24"/>
              </w:rPr>
              <w:t>Confidence Rating</w:t>
            </w:r>
          </w:p>
        </w:tc>
      </w:tr>
      <w:tr w:rsidR="00C154DD" w:rsidTr="00AA3A96">
        <w:trPr>
          <w:trHeight w:val="1131"/>
        </w:trPr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sz w:val="24"/>
                <w:szCs w:val="24"/>
              </w:rPr>
            </w:pPr>
          </w:p>
        </w:tc>
        <w:tc>
          <w:tcPr>
            <w:tcW w:w="1054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proofErr w:type="spellStart"/>
            <w:r w:rsidRPr="00C154DD">
              <w:rPr>
                <w:rFonts w:cs="Aharoni"/>
                <w:b/>
                <w:sz w:val="24"/>
                <w:szCs w:val="24"/>
              </w:rPr>
              <w:t>Pe</w:t>
            </w:r>
            <w:proofErr w:type="spellEnd"/>
            <w:r w:rsidRPr="00C154DD">
              <w:rPr>
                <w:rFonts w:cs="Aharoni"/>
                <w:b/>
                <w:sz w:val="24"/>
                <w:szCs w:val="24"/>
              </w:rPr>
              <w:t>-read</w:t>
            </w:r>
            <w:r w:rsidRPr="00C154DD">
              <w:rPr>
                <w:rFonts w:cs="Aharoni"/>
                <w:b/>
                <w:sz w:val="24"/>
                <w:szCs w:val="24"/>
              </w:rPr>
              <w:tab/>
            </w:r>
            <w:r w:rsidRPr="00C154DD">
              <w:rPr>
                <w:rFonts w:cs="Aharoni"/>
                <w:b/>
                <w:sz w:val="24"/>
                <w:szCs w:val="24"/>
              </w:rPr>
              <w:tab/>
            </w:r>
          </w:p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054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In lesson</w:t>
            </w:r>
          </w:p>
        </w:tc>
        <w:tc>
          <w:tcPr>
            <w:tcW w:w="1031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Revision</w:t>
            </w:r>
          </w:p>
        </w:tc>
        <w:tc>
          <w:tcPr>
            <w:tcW w:w="1054" w:type="dxa"/>
            <w:textDirection w:val="btLr"/>
          </w:tcPr>
          <w:p w:rsidR="00C154DD" w:rsidRPr="00C154DD" w:rsidRDefault="00C154DD" w:rsidP="00C154DD">
            <w:pPr>
              <w:ind w:left="113" w:right="113"/>
              <w:jc w:val="center"/>
              <w:rPr>
                <w:rFonts w:cs="Aharoni"/>
                <w:b/>
                <w:sz w:val="24"/>
                <w:szCs w:val="24"/>
              </w:rPr>
            </w:pPr>
            <w:r w:rsidRPr="00C154DD">
              <w:rPr>
                <w:rFonts w:cs="Aharoni"/>
                <w:b/>
                <w:sz w:val="24"/>
                <w:szCs w:val="24"/>
              </w:rPr>
              <w:t>Test</w:t>
            </w: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Know that biodiversity can be assessed at different scales:</w:t>
            </w:r>
          </w:p>
          <w:p w:rsidR="00C154DD" w:rsidRP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16"/>
                <w:szCs w:val="16"/>
                <w:lang w:val="en-GB"/>
              </w:rPr>
              <w:t xml:space="preserve">● </w:t>
            </w:r>
            <w:r>
              <w:rPr>
                <w:rFonts w:ascii="Verdana" w:hAnsi="Verdana" w:cs="Verdana"/>
                <w:sz w:val="20"/>
                <w:szCs w:val="20"/>
                <w:lang w:val="en-GB"/>
              </w:rPr>
              <w:t>within a habitat at the species level using a formula to calculate an index of diversity</w:t>
            </w:r>
          </w:p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16"/>
                <w:szCs w:val="16"/>
                <w:lang w:val="en-GB"/>
              </w:rPr>
              <w:t xml:space="preserve">● </w:t>
            </w:r>
            <w:r>
              <w:rPr>
                <w:rFonts w:ascii="Verdana" w:hAnsi="Verdana" w:cs="Verdana"/>
                <w:sz w:val="20"/>
                <w:szCs w:val="20"/>
                <w:lang w:val="en-GB"/>
              </w:rPr>
              <w:t>within a species at the genetic level by looking at the variety of alleles in the gene pool of a population.</w:t>
            </w:r>
          </w:p>
          <w:p w:rsidR="00AA3A96" w:rsidRDefault="00AA3A96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ii Understand the ethical and economic reasons (ecosystem services) for the maintenance of biodiversity.</w:t>
            </w:r>
          </w:p>
          <w:p w:rsidR="00AA3A96" w:rsidRPr="00C154DD" w:rsidRDefault="00AA3A96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  <w:tr w:rsidR="00C154DD" w:rsidTr="00AA3A96">
        <w:tc>
          <w:tcPr>
            <w:tcW w:w="1242" w:type="dxa"/>
            <w:vMerge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4141" w:type="dxa"/>
          </w:tcPr>
          <w:p w:rsidR="00C154DD" w:rsidRPr="00C154DD" w:rsidRDefault="00C154DD" w:rsidP="00C154DD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n-GB"/>
              </w:rPr>
            </w:pPr>
            <w:r>
              <w:rPr>
                <w:rFonts w:ascii="Verdana" w:hAnsi="Verdana" w:cs="Verdana"/>
                <w:sz w:val="20"/>
                <w:szCs w:val="20"/>
                <w:lang w:val="en-GB"/>
              </w:rPr>
              <w:t>iii Understand the principles of ex-situ (zoos and seed banks) and in-situ conservation (protected habitats), and the issues surrounding each method.</w:t>
            </w:r>
          </w:p>
          <w:p w:rsidR="00C154DD" w:rsidRDefault="00C154DD" w:rsidP="00C154DD">
            <w:pPr>
              <w:rPr>
                <w:rFonts w:cs="Aharoni"/>
                <w:sz w:val="24"/>
                <w:szCs w:val="24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31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  <w:tc>
          <w:tcPr>
            <w:tcW w:w="1054" w:type="dxa"/>
          </w:tcPr>
          <w:p w:rsidR="00C154DD" w:rsidRDefault="00C154DD" w:rsidP="00C154DD">
            <w:pPr>
              <w:jc w:val="center"/>
              <w:rPr>
                <w:rFonts w:cs="Aharoni"/>
                <w:b/>
                <w:sz w:val="32"/>
                <w:u w:val="single"/>
              </w:rPr>
            </w:pPr>
          </w:p>
        </w:tc>
      </w:tr>
    </w:tbl>
    <w:p w:rsidR="0054684D" w:rsidRDefault="0054684D" w:rsidP="00C154DD">
      <w:pPr>
        <w:rPr>
          <w:rFonts w:cs="Aharoni"/>
          <w:b/>
          <w:sz w:val="32"/>
          <w:u w:val="single"/>
        </w:rPr>
      </w:pPr>
      <w:bookmarkStart w:id="0" w:name="_GoBack"/>
      <w:bookmarkEnd w:id="0"/>
    </w:p>
    <w:sectPr w:rsidR="00546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4D"/>
    <w:rsid w:val="00207DB2"/>
    <w:rsid w:val="0054684D"/>
    <w:rsid w:val="00AA3A96"/>
    <w:rsid w:val="00C1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1109E"/>
  <w15:docId w15:val="{B5741444-9E43-4688-8FFC-7BF4BDCE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3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A14C2BD0</Template>
  <TotalTime>33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Caton</dc:creator>
  <cp:lastModifiedBy>Moniza Abbas</cp:lastModifiedBy>
  <cp:revision>4</cp:revision>
  <dcterms:created xsi:type="dcterms:W3CDTF">2016-09-11T19:00:00Z</dcterms:created>
  <dcterms:modified xsi:type="dcterms:W3CDTF">2017-11-26T16:18:00Z</dcterms:modified>
</cp:coreProperties>
</file>